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4- Mulch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3.png"/>
            <a:graphic>
              <a:graphicData uri="http://schemas.openxmlformats.org/drawingml/2006/picture">
                <pic:pic>
                  <pic:nvPicPr>
                    <pic:cNvPr descr="UF CPET" id="0" name="image3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3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i w:val="1"/>
          <w:color w:val="002060"/>
          <w:sz w:val="24"/>
          <w:szCs w:val="24"/>
        </w:rPr>
      </w:pPr>
      <w:bookmarkStart w:colFirst="0" w:colLast="0" w:name="_heading=h.ikr8k775awwp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High School Mulching PSA/Infographic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color w:val="f47e4b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799.880000000001" w:type="dxa"/>
        <w:jc w:val="left"/>
        <w:tblBorders>
          <w:top w:color="b8d7d9" w:space="0" w:sz="12" w:val="single"/>
          <w:left w:color="b8d7d9" w:space="0" w:sz="12" w:val="single"/>
          <w:bottom w:color="b8d7d9" w:space="0" w:sz="12" w:val="single"/>
          <w:right w:color="b8d7d9" w:space="0" w:sz="12" w:val="single"/>
          <w:insideH w:color="b8d7d9" w:space="0" w:sz="12" w:val="single"/>
          <w:insideV w:color="b8d7d9" w:space="0" w:sz="12" w:val="single"/>
        </w:tblBorders>
        <w:tblLayout w:type="fixed"/>
        <w:tblLook w:val="0600"/>
      </w:tblPr>
      <w:tblGrid>
        <w:gridCol w:w="1860"/>
        <w:gridCol w:w="2234.88"/>
        <w:gridCol w:w="2235"/>
        <w:gridCol w:w="2235"/>
        <w:gridCol w:w="2235"/>
        <w:tblGridChange w:id="0">
          <w:tblGrid>
            <w:gridCol w:w="1860"/>
            <w:gridCol w:w="2234.88"/>
            <w:gridCol w:w="2235"/>
            <w:gridCol w:w="2235"/>
            <w:gridCol w:w="223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Excellent</w:t>
            </w:r>
          </w:p>
          <w:p w:rsidR="00000000" w:rsidDel="00000000" w:rsidP="00000000" w:rsidRDefault="00000000" w:rsidRPr="00000000" w14:paraId="000000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(4 pts)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Good </w:t>
            </w:r>
          </w:p>
          <w:p w:rsidR="00000000" w:rsidDel="00000000" w:rsidP="00000000" w:rsidRDefault="00000000" w:rsidRPr="00000000" w14:paraId="000000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(3 pts)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Satisfactory </w:t>
            </w:r>
          </w:p>
          <w:p w:rsidR="00000000" w:rsidDel="00000000" w:rsidP="00000000" w:rsidRDefault="00000000" w:rsidRPr="00000000" w14:paraId="000000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(2 pts)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Needs Improvement (1 pt)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Content Accuracy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Clearly explains mulch and benefits with 3+ examples; uses proper terminology and aligns with FFL principles.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Includes 2–3 mulch benefits, mostly accurate and clear.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Includes at least 1 method; may have minor inaccuracies.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Content is unclear, minimal, or inaccurate.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Connection to FFL Principles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Links mulching 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at least 3 FFL principles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with explanations.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Connects to 2 FFL principles with some explanation.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Mentions 1 principle with little explanation.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 clear connection to FFL principles.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Visual Design &amp; Creativity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Visually engaging, well-organized, and creative layout; strong visual appeal.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Visually clear with some creative elements; easy to follow.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Basic visuals; some organization issues.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Lacks organization or visual effort.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Call to Action / Public 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Strong message encouraging eco-friendly mulch choices; clear call to action.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Includes a message and attempt at a call to action.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Message is vague or lacks action step.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 clear message or purpose.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Grammar &amp; Mechanics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 spelling, grammar, or formatting errors.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1–2 minor errors that do not affect understanding.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Several errors, but meaning is mostly clear.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Errors interfere with clarity.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Effort &amp; Completion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Exceeds expectations; thorough and thoughtful work submitted on time.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and meet all expectations.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Mostly complete; some areas underdeveloped.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Incomplete or lacks evident effort.</w:t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center"/>
      <w:rPr>
        <w:color w:val="d9d9d9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4"/>
        <w:szCs w:val="24"/>
        <w:rtl w:val="0"/>
      </w:rPr>
      <w:t xml:space="preserve">Vicki Craig, West Port High School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VMc21X/YeU8GKjQymXUpIFePBg==">CgMxLjAyDmguaWtyOGs3NzVhd3dwOAByITE0MF9oZmNXVGloU3RQd0o5YWMxYmhQVHI5U09yb1dmbg==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